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FEC4C" w14:textId="77777777" w:rsidR="004A6307" w:rsidRDefault="00000000">
      <w:pPr>
        <w:jc w:val="center"/>
        <w:rPr>
          <w:rFonts w:ascii="Comic Sans MS" w:eastAsia="Comic Sans MS" w:hAnsi="Comic Sans MS" w:cs="Comic Sans MS"/>
          <w:b/>
          <w:sz w:val="26"/>
          <w:szCs w:val="26"/>
        </w:rPr>
      </w:pPr>
      <w:r>
        <w:rPr>
          <w:rFonts w:ascii="Comic Sans MS" w:eastAsia="Comic Sans MS" w:hAnsi="Comic Sans MS" w:cs="Comic Sans MS"/>
          <w:b/>
          <w:sz w:val="26"/>
          <w:szCs w:val="26"/>
        </w:rPr>
        <w:t>Wine &amp; Cheese</w:t>
      </w:r>
    </w:p>
    <w:p w14:paraId="00D9219D" w14:textId="77777777" w:rsidR="004A6307" w:rsidRDefault="00000000">
      <w:pPr>
        <w:jc w:val="center"/>
        <w:rPr>
          <w:rFonts w:ascii="Comic Sans MS" w:eastAsia="Comic Sans MS" w:hAnsi="Comic Sans MS" w:cs="Comic Sans MS"/>
          <w:b/>
          <w:sz w:val="26"/>
          <w:szCs w:val="26"/>
        </w:rPr>
      </w:pPr>
      <w:r>
        <w:rPr>
          <w:rFonts w:ascii="Comic Sans MS" w:eastAsia="Comic Sans MS" w:hAnsi="Comic Sans MS" w:cs="Comic Sans MS"/>
          <w:b/>
          <w:sz w:val="26"/>
          <w:szCs w:val="26"/>
        </w:rPr>
        <w:t>May 2023 Wine Club</w:t>
      </w:r>
    </w:p>
    <w:p w14:paraId="24EB3D35" w14:textId="77777777" w:rsidR="004A6307" w:rsidRDefault="004A6307"/>
    <w:p w14:paraId="6F97E46E" w14:textId="3050DFB6" w:rsidR="004A6307" w:rsidRDefault="00000000">
      <w:pPr>
        <w:spacing w:line="240" w:lineRule="auto"/>
        <w:rPr>
          <w:color w:val="222222"/>
          <w:sz w:val="23"/>
          <w:szCs w:val="23"/>
          <w:highlight w:val="white"/>
        </w:rPr>
      </w:pPr>
      <w:r>
        <w:rPr>
          <w:sz w:val="23"/>
          <w:szCs w:val="23"/>
        </w:rPr>
        <w:t>June is here</w:t>
      </w:r>
      <w:r w:rsidR="002E1466">
        <w:rPr>
          <w:sz w:val="23"/>
          <w:szCs w:val="23"/>
        </w:rPr>
        <w:t>, and w</w:t>
      </w:r>
      <w:r>
        <w:rPr>
          <w:sz w:val="23"/>
          <w:szCs w:val="23"/>
        </w:rPr>
        <w:t>ith June comes summer fun, barbeques, and time sitting on the deck.  The perfect opportunity for some summer wines</w:t>
      </w:r>
      <w:r w:rsidR="002E1466">
        <w:rPr>
          <w:sz w:val="23"/>
          <w:szCs w:val="23"/>
        </w:rPr>
        <w:t>!</w:t>
      </w:r>
      <w:r>
        <w:rPr>
          <w:sz w:val="23"/>
          <w:szCs w:val="23"/>
        </w:rPr>
        <w:t xml:space="preserve">  Our selections this month are perfect for the warmer weather: </w:t>
      </w:r>
      <w:r w:rsidR="002E1466">
        <w:rPr>
          <w:sz w:val="23"/>
          <w:szCs w:val="23"/>
        </w:rPr>
        <w:t xml:space="preserve"> </w:t>
      </w:r>
      <w:proofErr w:type="spellStart"/>
      <w:r>
        <w:rPr>
          <w:color w:val="222222"/>
          <w:sz w:val="23"/>
          <w:szCs w:val="23"/>
          <w:highlight w:val="white"/>
        </w:rPr>
        <w:t>Beghel</w:t>
      </w:r>
      <w:proofErr w:type="spellEnd"/>
      <w:r>
        <w:rPr>
          <w:color w:val="222222"/>
          <w:sz w:val="23"/>
          <w:szCs w:val="23"/>
          <w:highlight w:val="white"/>
        </w:rPr>
        <w:t xml:space="preserve"> Cabernet Sauvignon &amp; </w:t>
      </w:r>
      <w:proofErr w:type="spellStart"/>
      <w:r>
        <w:rPr>
          <w:color w:val="222222"/>
          <w:sz w:val="23"/>
          <w:szCs w:val="23"/>
          <w:highlight w:val="white"/>
        </w:rPr>
        <w:t>Delle</w:t>
      </w:r>
      <w:proofErr w:type="spellEnd"/>
      <w:r>
        <w:rPr>
          <w:color w:val="222222"/>
          <w:sz w:val="23"/>
          <w:szCs w:val="23"/>
          <w:highlight w:val="white"/>
        </w:rPr>
        <w:t xml:space="preserve"> </w:t>
      </w:r>
      <w:proofErr w:type="spellStart"/>
      <w:r>
        <w:rPr>
          <w:color w:val="222222"/>
          <w:sz w:val="23"/>
          <w:szCs w:val="23"/>
          <w:highlight w:val="white"/>
        </w:rPr>
        <w:t>Venezie</w:t>
      </w:r>
      <w:proofErr w:type="spellEnd"/>
      <w:r>
        <w:rPr>
          <w:color w:val="222222"/>
          <w:sz w:val="23"/>
          <w:szCs w:val="23"/>
          <w:highlight w:val="white"/>
        </w:rPr>
        <w:t xml:space="preserve"> Pinot Grigio</w:t>
      </w:r>
      <w:r w:rsidR="002E1466">
        <w:rPr>
          <w:color w:val="222222"/>
          <w:sz w:val="23"/>
          <w:szCs w:val="23"/>
          <w:highlight w:val="white"/>
        </w:rPr>
        <w:t xml:space="preserve"> - b</w:t>
      </w:r>
      <w:r>
        <w:rPr>
          <w:color w:val="222222"/>
          <w:sz w:val="23"/>
          <w:szCs w:val="23"/>
          <w:highlight w:val="white"/>
        </w:rPr>
        <w:t xml:space="preserve">oth by </w:t>
      </w:r>
      <w:proofErr w:type="spellStart"/>
      <w:r>
        <w:rPr>
          <w:color w:val="222222"/>
          <w:sz w:val="23"/>
          <w:szCs w:val="23"/>
          <w:highlight w:val="white"/>
        </w:rPr>
        <w:t>DaCastello</w:t>
      </w:r>
      <w:proofErr w:type="spellEnd"/>
      <w:r>
        <w:rPr>
          <w:color w:val="222222"/>
          <w:sz w:val="23"/>
          <w:szCs w:val="23"/>
          <w:highlight w:val="white"/>
        </w:rPr>
        <w:t xml:space="preserve"> wines (the same producer as the Proseccos we carry</w:t>
      </w:r>
      <w:r w:rsidR="002E1466">
        <w:rPr>
          <w:color w:val="222222"/>
          <w:sz w:val="23"/>
          <w:szCs w:val="23"/>
          <w:highlight w:val="white"/>
        </w:rPr>
        <w:t xml:space="preserve"> at Wine and Cheese</w:t>
      </w:r>
      <w:r>
        <w:rPr>
          <w:color w:val="222222"/>
          <w:sz w:val="23"/>
          <w:szCs w:val="23"/>
          <w:highlight w:val="white"/>
        </w:rPr>
        <w:t>).</w:t>
      </w:r>
    </w:p>
    <w:p w14:paraId="312354EC" w14:textId="77777777" w:rsidR="004A6307" w:rsidRDefault="004A6307">
      <w:pPr>
        <w:rPr>
          <w:color w:val="222222"/>
          <w:highlight w:val="white"/>
        </w:rPr>
      </w:pPr>
    </w:p>
    <w:p w14:paraId="337DB4D5" w14:textId="469D5DE6" w:rsidR="004A6307" w:rsidRDefault="00000000">
      <w:pPr>
        <w:shd w:val="clear" w:color="auto" w:fill="FFFFFF"/>
        <w:spacing w:after="300" w:line="240" w:lineRule="auto"/>
        <w:rPr>
          <w:sz w:val="23"/>
          <w:szCs w:val="23"/>
        </w:rPr>
      </w:pPr>
      <w:r>
        <w:rPr>
          <w:sz w:val="23"/>
          <w:szCs w:val="23"/>
        </w:rPr>
        <w:t xml:space="preserve">The </w:t>
      </w:r>
      <w:proofErr w:type="spellStart"/>
      <w:r>
        <w:rPr>
          <w:color w:val="222222"/>
          <w:sz w:val="23"/>
          <w:szCs w:val="23"/>
          <w:highlight w:val="white"/>
        </w:rPr>
        <w:t>Beghel</w:t>
      </w:r>
      <w:proofErr w:type="spellEnd"/>
      <w:r>
        <w:rPr>
          <w:color w:val="222222"/>
          <w:sz w:val="23"/>
          <w:szCs w:val="23"/>
          <w:highlight w:val="white"/>
        </w:rPr>
        <w:t xml:space="preserve"> Cabernet Sauvignon</w:t>
      </w:r>
      <w:r>
        <w:rPr>
          <w:sz w:val="23"/>
          <w:szCs w:val="23"/>
        </w:rPr>
        <w:t xml:space="preserve"> is a wine made with Cabernet Sauvignon grapes grown in the Veneto region of Italy. </w:t>
      </w:r>
      <w:r w:rsidR="002E1466">
        <w:rPr>
          <w:sz w:val="23"/>
          <w:szCs w:val="23"/>
        </w:rPr>
        <w:t xml:space="preserve"> </w:t>
      </w:r>
      <w:r>
        <w:rPr>
          <w:sz w:val="23"/>
          <w:szCs w:val="23"/>
        </w:rPr>
        <w:t>It has a deep red color</w:t>
      </w:r>
      <w:r w:rsidR="002E1466">
        <w:rPr>
          <w:sz w:val="23"/>
          <w:szCs w:val="23"/>
        </w:rPr>
        <w:t xml:space="preserve"> with </w:t>
      </w:r>
      <w:r>
        <w:rPr>
          <w:sz w:val="23"/>
          <w:szCs w:val="23"/>
        </w:rPr>
        <w:t>red and black cherry aroma</w:t>
      </w:r>
      <w:r w:rsidR="002E1466">
        <w:rPr>
          <w:sz w:val="23"/>
          <w:szCs w:val="23"/>
        </w:rPr>
        <w:t>s</w:t>
      </w:r>
      <w:r>
        <w:rPr>
          <w:sz w:val="23"/>
          <w:szCs w:val="23"/>
        </w:rPr>
        <w:t xml:space="preserve"> that is intense yet pleasant and well structured</w:t>
      </w:r>
      <w:r w:rsidR="002E1466">
        <w:rPr>
          <w:sz w:val="23"/>
          <w:szCs w:val="23"/>
        </w:rPr>
        <w:t xml:space="preserve"> - with a </w:t>
      </w:r>
      <w:r>
        <w:rPr>
          <w:sz w:val="23"/>
          <w:szCs w:val="23"/>
        </w:rPr>
        <w:t xml:space="preserve">dry aftertaste. </w:t>
      </w:r>
      <w:r w:rsidR="002E1466">
        <w:rPr>
          <w:sz w:val="23"/>
          <w:szCs w:val="23"/>
        </w:rPr>
        <w:t xml:space="preserve"> </w:t>
      </w:r>
      <w:r>
        <w:rPr>
          <w:sz w:val="23"/>
          <w:szCs w:val="23"/>
        </w:rPr>
        <w:t>Served at room temperature, it pairs amazingly well with roasted red meats and aged cheeses.</w:t>
      </w:r>
      <w:r w:rsidR="002E1466">
        <w:rPr>
          <w:sz w:val="23"/>
          <w:szCs w:val="23"/>
        </w:rPr>
        <w:t xml:space="preserve">  </w:t>
      </w:r>
      <w:r>
        <w:rPr>
          <w:sz w:val="23"/>
          <w:szCs w:val="23"/>
        </w:rPr>
        <w:t>This wine’s IGT (</w:t>
      </w:r>
      <w:proofErr w:type="spellStart"/>
      <w:r>
        <w:rPr>
          <w:sz w:val="23"/>
          <w:szCs w:val="23"/>
        </w:rPr>
        <w:t>Indicazione</w:t>
      </w:r>
      <w:proofErr w:type="spellEnd"/>
      <w:r>
        <w:rPr>
          <w:sz w:val="23"/>
          <w:szCs w:val="23"/>
        </w:rPr>
        <w:t xml:space="preserve"> </w:t>
      </w:r>
      <w:proofErr w:type="spellStart"/>
      <w:r w:rsidR="002E1466">
        <w:rPr>
          <w:sz w:val="23"/>
          <w:szCs w:val="23"/>
        </w:rPr>
        <w:t>G</w:t>
      </w:r>
      <w:r>
        <w:rPr>
          <w:sz w:val="23"/>
          <w:szCs w:val="23"/>
        </w:rPr>
        <w:t>eografica</w:t>
      </w:r>
      <w:proofErr w:type="spellEnd"/>
      <w:r>
        <w:rPr>
          <w:sz w:val="23"/>
          <w:szCs w:val="23"/>
        </w:rPr>
        <w:t xml:space="preserve"> </w:t>
      </w:r>
      <w:proofErr w:type="spellStart"/>
      <w:r w:rsidR="002E1466">
        <w:rPr>
          <w:sz w:val="23"/>
          <w:szCs w:val="23"/>
        </w:rPr>
        <w:t>T</w:t>
      </w:r>
      <w:r>
        <w:rPr>
          <w:sz w:val="23"/>
          <w:szCs w:val="23"/>
        </w:rPr>
        <w:t>ipica</w:t>
      </w:r>
      <w:proofErr w:type="spellEnd"/>
      <w:r>
        <w:rPr>
          <w:sz w:val="23"/>
          <w:szCs w:val="23"/>
        </w:rPr>
        <w:t xml:space="preserve">) classification acknowledges the unusually high quality of the class of fine wines referred to as "Super Tuscans". </w:t>
      </w:r>
      <w:r w:rsidR="002E1466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IGT wines are labeled with the locality in which they were </w:t>
      </w:r>
      <w:proofErr w:type="gramStart"/>
      <w:r>
        <w:rPr>
          <w:sz w:val="23"/>
          <w:szCs w:val="23"/>
        </w:rPr>
        <w:t>produced;</w:t>
      </w:r>
      <w:proofErr w:type="gramEnd"/>
      <w:r>
        <w:rPr>
          <w:sz w:val="23"/>
          <w:szCs w:val="23"/>
        </w:rPr>
        <w:t xml:space="preserve"> in this case, Veneto.</w:t>
      </w:r>
    </w:p>
    <w:p w14:paraId="788F13B6" w14:textId="3F9F0D25" w:rsidR="004A6307" w:rsidRDefault="00000000">
      <w:pPr>
        <w:spacing w:line="240" w:lineRule="auto"/>
        <w:rPr>
          <w:sz w:val="23"/>
          <w:szCs w:val="23"/>
        </w:rPr>
      </w:pPr>
      <w:proofErr w:type="spellStart"/>
      <w:r>
        <w:rPr>
          <w:color w:val="212121"/>
          <w:sz w:val="23"/>
          <w:szCs w:val="23"/>
          <w:highlight w:val="white"/>
        </w:rPr>
        <w:t>Delle</w:t>
      </w:r>
      <w:proofErr w:type="spellEnd"/>
      <w:r>
        <w:rPr>
          <w:color w:val="212121"/>
          <w:sz w:val="23"/>
          <w:szCs w:val="23"/>
          <w:highlight w:val="white"/>
        </w:rPr>
        <w:t xml:space="preserve"> </w:t>
      </w:r>
      <w:proofErr w:type="spellStart"/>
      <w:r>
        <w:rPr>
          <w:color w:val="212121"/>
          <w:sz w:val="23"/>
          <w:szCs w:val="23"/>
          <w:highlight w:val="white"/>
        </w:rPr>
        <w:t>Venezie</w:t>
      </w:r>
      <w:proofErr w:type="spellEnd"/>
      <w:r>
        <w:rPr>
          <w:color w:val="212121"/>
          <w:sz w:val="23"/>
          <w:szCs w:val="23"/>
          <w:highlight w:val="white"/>
        </w:rPr>
        <w:t xml:space="preserve"> is one of Italy's best-known wine designations. </w:t>
      </w:r>
      <w:r w:rsidR="002E1466">
        <w:rPr>
          <w:color w:val="212121"/>
          <w:sz w:val="23"/>
          <w:szCs w:val="23"/>
          <w:highlight w:val="white"/>
        </w:rPr>
        <w:t xml:space="preserve"> </w:t>
      </w:r>
      <w:r>
        <w:rPr>
          <w:color w:val="212121"/>
          <w:sz w:val="23"/>
          <w:szCs w:val="23"/>
          <w:highlight w:val="white"/>
        </w:rPr>
        <w:t xml:space="preserve">It was made famous by the huge quantities of crisp, light Pinot Grigio </w:t>
      </w:r>
      <w:proofErr w:type="spellStart"/>
      <w:r>
        <w:rPr>
          <w:color w:val="212121"/>
          <w:sz w:val="23"/>
          <w:szCs w:val="23"/>
          <w:highlight w:val="white"/>
        </w:rPr>
        <w:t>delle</w:t>
      </w:r>
      <w:proofErr w:type="spellEnd"/>
      <w:r>
        <w:rPr>
          <w:color w:val="212121"/>
          <w:sz w:val="23"/>
          <w:szCs w:val="23"/>
          <w:highlight w:val="white"/>
        </w:rPr>
        <w:t xml:space="preserve"> </w:t>
      </w:r>
      <w:proofErr w:type="spellStart"/>
      <w:r>
        <w:rPr>
          <w:color w:val="212121"/>
          <w:sz w:val="23"/>
          <w:szCs w:val="23"/>
          <w:highlight w:val="white"/>
        </w:rPr>
        <w:t>Venezie</w:t>
      </w:r>
      <w:proofErr w:type="spellEnd"/>
      <w:r>
        <w:rPr>
          <w:color w:val="212121"/>
          <w:sz w:val="23"/>
          <w:szCs w:val="23"/>
          <w:highlight w:val="white"/>
        </w:rPr>
        <w:t xml:space="preserve"> that are shipped to the United Kingdom and the United States from Northeastern Italy each year.  This </w:t>
      </w:r>
      <w:proofErr w:type="spellStart"/>
      <w:r>
        <w:rPr>
          <w:sz w:val="23"/>
          <w:szCs w:val="23"/>
          <w:highlight w:val="white"/>
        </w:rPr>
        <w:t>Delle</w:t>
      </w:r>
      <w:proofErr w:type="spellEnd"/>
      <w:r>
        <w:rPr>
          <w:sz w:val="23"/>
          <w:szCs w:val="23"/>
          <w:highlight w:val="white"/>
        </w:rPr>
        <w:t xml:space="preserve"> </w:t>
      </w:r>
      <w:proofErr w:type="spellStart"/>
      <w:r>
        <w:rPr>
          <w:sz w:val="23"/>
          <w:szCs w:val="23"/>
          <w:highlight w:val="white"/>
        </w:rPr>
        <w:t>Venezie</w:t>
      </w:r>
      <w:proofErr w:type="spellEnd"/>
      <w:r>
        <w:rPr>
          <w:sz w:val="23"/>
          <w:szCs w:val="23"/>
          <w:highlight w:val="white"/>
        </w:rPr>
        <w:t xml:space="preserve"> Pinot Grigio is a beautiful, subtle white wine with bright straw yellow color. </w:t>
      </w:r>
      <w:r w:rsidR="002E1466">
        <w:rPr>
          <w:sz w:val="23"/>
          <w:szCs w:val="23"/>
          <w:highlight w:val="white"/>
        </w:rPr>
        <w:t xml:space="preserve"> </w:t>
      </w:r>
      <w:r>
        <w:rPr>
          <w:sz w:val="23"/>
          <w:szCs w:val="23"/>
          <w:highlight w:val="white"/>
        </w:rPr>
        <w:t xml:space="preserve">It is made from Pinot Grigio grapes grown in the vineyards of Italy's Veneto region. </w:t>
      </w:r>
      <w:r w:rsidR="002E1466">
        <w:rPr>
          <w:sz w:val="23"/>
          <w:szCs w:val="23"/>
          <w:highlight w:val="white"/>
        </w:rPr>
        <w:t xml:space="preserve"> </w:t>
      </w:r>
      <w:r>
        <w:rPr>
          <w:sz w:val="23"/>
          <w:szCs w:val="23"/>
          <w:highlight w:val="white"/>
        </w:rPr>
        <w:t xml:space="preserve">Its floral and woody fragrance leads onto subtle flavors of the same and on the </w:t>
      </w:r>
      <w:proofErr w:type="gramStart"/>
      <w:r>
        <w:rPr>
          <w:sz w:val="23"/>
          <w:szCs w:val="23"/>
          <w:highlight w:val="white"/>
        </w:rPr>
        <w:t>palate</w:t>
      </w:r>
      <w:proofErr w:type="gramEnd"/>
      <w:r>
        <w:rPr>
          <w:sz w:val="23"/>
          <w:szCs w:val="23"/>
          <w:highlight w:val="white"/>
        </w:rPr>
        <w:t xml:space="preserve"> you will experience a dry wine with a persistent finish.</w:t>
      </w:r>
    </w:p>
    <w:p w14:paraId="23F42022" w14:textId="77777777" w:rsidR="004A6307" w:rsidRDefault="00000000">
      <w:pPr>
        <w:rPr>
          <w:highlight w:val="white"/>
        </w:rPr>
      </w:pPr>
      <w:r>
        <w:rPr>
          <w:highlight w:val="white"/>
        </w:rPr>
        <w:t xml:space="preserve"> </w:t>
      </w:r>
    </w:p>
    <w:p w14:paraId="67818B4C" w14:textId="0D32082C" w:rsidR="004A6307" w:rsidRDefault="00000000">
      <w:r>
        <w:rPr>
          <w:highlight w:val="white"/>
        </w:rPr>
        <w:t xml:space="preserve">Attached </w:t>
      </w:r>
      <w:r w:rsidR="002E1466">
        <w:t xml:space="preserve">is more information on the wines.  If you’re part of the red wine club, you’ll be receiving </w:t>
      </w:r>
      <w:r w:rsidR="002E1466" w:rsidRPr="002E1466">
        <w:t xml:space="preserve">Next Wines Red Blend </w:t>
      </w:r>
      <w:r w:rsidR="002E1466">
        <w:t xml:space="preserve">from </w:t>
      </w:r>
      <w:r w:rsidR="002E1466" w:rsidRPr="002E1466">
        <w:t>Columbia Valley</w:t>
      </w:r>
      <w:r w:rsidR="002E1466">
        <w:t>.</w:t>
      </w:r>
    </w:p>
    <w:p w14:paraId="6FC9BF5E" w14:textId="77777777" w:rsidR="004A6307" w:rsidRDefault="004A6307"/>
    <w:p w14:paraId="29BF7468" w14:textId="35D5C468" w:rsidR="004A6307" w:rsidRDefault="00000000">
      <w:pPr>
        <w:rPr>
          <w:b/>
          <w:color w:val="222222"/>
        </w:rPr>
      </w:pPr>
      <w:proofErr w:type="spellStart"/>
      <w:r>
        <w:rPr>
          <w:b/>
          <w:sz w:val="23"/>
          <w:szCs w:val="23"/>
        </w:rPr>
        <w:t>Beghel</w:t>
      </w:r>
      <w:proofErr w:type="spellEnd"/>
      <w:r>
        <w:rPr>
          <w:b/>
          <w:sz w:val="23"/>
          <w:szCs w:val="23"/>
        </w:rPr>
        <w:t xml:space="preserve"> Cabernet Sauvignon Veneto I.G.T.</w:t>
      </w:r>
      <w:r w:rsidR="00485408">
        <w:rPr>
          <w:b/>
          <w:sz w:val="23"/>
          <w:szCs w:val="23"/>
        </w:rPr>
        <w:t xml:space="preserve"> 2021</w:t>
      </w:r>
      <w:r>
        <w:rPr>
          <w:b/>
          <w:sz w:val="23"/>
          <w:szCs w:val="23"/>
        </w:rPr>
        <w:t>, Italy</w:t>
      </w:r>
    </w:p>
    <w:p w14:paraId="30E18BFB" w14:textId="77777777" w:rsidR="004A6307" w:rsidRDefault="00000000">
      <w:pPr>
        <w:shd w:val="clear" w:color="auto" w:fill="FFFFFF"/>
        <w:spacing w:line="288" w:lineRule="auto"/>
        <w:rPr>
          <w:sz w:val="20"/>
          <w:szCs w:val="20"/>
        </w:rPr>
      </w:pPr>
      <w:r>
        <w:rPr>
          <w:b/>
          <w:sz w:val="20"/>
          <w:szCs w:val="20"/>
        </w:rPr>
        <w:t>Varietal Composition: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Cabernet Sauvignon</w:t>
      </w:r>
    </w:p>
    <w:p w14:paraId="57C3D9A0" w14:textId="77777777" w:rsidR="004A6307" w:rsidRDefault="00000000">
      <w:pPr>
        <w:shd w:val="clear" w:color="auto" w:fill="FFFFFF"/>
        <w:spacing w:line="288" w:lineRule="auto"/>
        <w:rPr>
          <w:sz w:val="20"/>
          <w:szCs w:val="20"/>
        </w:rPr>
      </w:pPr>
      <w:r>
        <w:rPr>
          <w:b/>
          <w:sz w:val="20"/>
          <w:szCs w:val="20"/>
        </w:rPr>
        <w:t>Vineyard Location:</w:t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ab/>
        <w:t xml:space="preserve">Veneto, </w:t>
      </w:r>
      <w:r>
        <w:rPr>
          <w:color w:val="212121"/>
          <w:sz w:val="20"/>
          <w:szCs w:val="20"/>
          <w:highlight w:val="white"/>
        </w:rPr>
        <w:t>Friuli-Venezia Giulia, Italy</w:t>
      </w:r>
    </w:p>
    <w:p w14:paraId="0F80A6DF" w14:textId="77777777" w:rsidR="004A6307" w:rsidRDefault="00000000">
      <w:pPr>
        <w:shd w:val="clear" w:color="auto" w:fill="FFFFFF"/>
        <w:spacing w:line="331" w:lineRule="auto"/>
        <w:rPr>
          <w:sz w:val="20"/>
          <w:szCs w:val="20"/>
        </w:rPr>
      </w:pPr>
      <w:r>
        <w:rPr>
          <w:b/>
          <w:sz w:val="20"/>
          <w:szCs w:val="20"/>
        </w:rPr>
        <w:t>Aging: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Stainless Steel</w:t>
      </w:r>
    </w:p>
    <w:p w14:paraId="558E6106" w14:textId="77777777" w:rsidR="004A6307" w:rsidRDefault="00000000">
      <w:pPr>
        <w:shd w:val="clear" w:color="auto" w:fill="FFFFFF"/>
        <w:spacing w:line="288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Alcohol: 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12%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522CFCDE" w14:textId="196D6FE7" w:rsidR="004A6307" w:rsidRDefault="00000000">
      <w:pPr>
        <w:shd w:val="clear" w:color="auto" w:fill="FFFFFF"/>
        <w:spacing w:line="288" w:lineRule="auto"/>
        <w:rPr>
          <w:color w:val="404040"/>
          <w:sz w:val="20"/>
          <w:szCs w:val="20"/>
        </w:rPr>
      </w:pPr>
      <w:r>
        <w:rPr>
          <w:b/>
          <w:sz w:val="20"/>
          <w:szCs w:val="20"/>
        </w:rPr>
        <w:t>Tasting Notes: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>Intense on the nose</w:t>
      </w:r>
      <w:r w:rsidR="002E1466">
        <w:rPr>
          <w:sz w:val="20"/>
          <w:szCs w:val="20"/>
        </w:rPr>
        <w:t xml:space="preserve">, </w:t>
      </w:r>
      <w:proofErr w:type="spellStart"/>
      <w:r w:rsidR="002E1466">
        <w:rPr>
          <w:sz w:val="20"/>
          <w:szCs w:val="20"/>
        </w:rPr>
        <w:t>jammy</w:t>
      </w:r>
      <w:proofErr w:type="spellEnd"/>
      <w:r w:rsidR="002E1466">
        <w:rPr>
          <w:sz w:val="20"/>
          <w:szCs w:val="20"/>
        </w:rPr>
        <w:t>,</w:t>
      </w:r>
      <w:r>
        <w:rPr>
          <w:sz w:val="20"/>
          <w:szCs w:val="20"/>
        </w:rPr>
        <w:t xml:space="preserve"> with hints of black cherry</w:t>
      </w:r>
      <w:r w:rsidR="002E1466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14:paraId="22EDBAC0" w14:textId="77777777" w:rsidR="004A6307" w:rsidRDefault="00000000">
      <w:pPr>
        <w:shd w:val="clear" w:color="auto" w:fill="FFFFFF"/>
        <w:spacing w:line="288" w:lineRule="auto"/>
        <w:rPr>
          <w:sz w:val="20"/>
          <w:szCs w:val="20"/>
        </w:rPr>
      </w:pPr>
      <w:r>
        <w:rPr>
          <w:b/>
          <w:sz w:val="20"/>
          <w:szCs w:val="20"/>
        </w:rPr>
        <w:t>Food Pairing: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Pair with our red wine meatballs or fire grilled meats and pizza</w:t>
      </w:r>
    </w:p>
    <w:p w14:paraId="15221305" w14:textId="77777777" w:rsidR="004A6307" w:rsidRDefault="00000000">
      <w:pPr>
        <w:shd w:val="clear" w:color="auto" w:fill="FFFFFF"/>
        <w:spacing w:line="288" w:lineRule="auto"/>
        <w:rPr>
          <w:sz w:val="20"/>
          <w:szCs w:val="20"/>
        </w:rPr>
      </w:pPr>
      <w:r>
        <w:rPr>
          <w:b/>
          <w:sz w:val="20"/>
          <w:szCs w:val="20"/>
        </w:rPr>
        <w:t>Cheese Pairing: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Pair with our Big Ed’s Gouda or Smoked Cheddar</w:t>
      </w:r>
    </w:p>
    <w:p w14:paraId="5740744B" w14:textId="77777777" w:rsidR="004A6307" w:rsidRDefault="004A6307">
      <w:pPr>
        <w:ind w:right="-720"/>
        <w:rPr>
          <w:sz w:val="20"/>
          <w:szCs w:val="20"/>
        </w:rPr>
      </w:pPr>
    </w:p>
    <w:p w14:paraId="286B58D3" w14:textId="7B5F296B" w:rsidR="004A6307" w:rsidRDefault="00000000">
      <w:pPr>
        <w:rPr>
          <w:b/>
          <w:sz w:val="23"/>
          <w:szCs w:val="23"/>
        </w:rPr>
      </w:pPr>
      <w:proofErr w:type="spellStart"/>
      <w:r>
        <w:rPr>
          <w:b/>
          <w:sz w:val="23"/>
          <w:szCs w:val="23"/>
        </w:rPr>
        <w:t>Delle</w:t>
      </w:r>
      <w:proofErr w:type="spellEnd"/>
      <w:r>
        <w:rPr>
          <w:b/>
          <w:sz w:val="23"/>
          <w:szCs w:val="23"/>
        </w:rPr>
        <w:t xml:space="preserve"> </w:t>
      </w:r>
      <w:proofErr w:type="spellStart"/>
      <w:r>
        <w:rPr>
          <w:b/>
          <w:sz w:val="23"/>
          <w:szCs w:val="23"/>
        </w:rPr>
        <w:t>Venezie</w:t>
      </w:r>
      <w:proofErr w:type="spellEnd"/>
      <w:r>
        <w:rPr>
          <w:b/>
          <w:sz w:val="23"/>
          <w:szCs w:val="23"/>
        </w:rPr>
        <w:t xml:space="preserve"> Pinot Grigio D.O.C.</w:t>
      </w:r>
      <w:r w:rsidR="00485408">
        <w:rPr>
          <w:b/>
          <w:sz w:val="23"/>
          <w:szCs w:val="23"/>
        </w:rPr>
        <w:t xml:space="preserve"> 2021</w:t>
      </w:r>
      <w:r>
        <w:rPr>
          <w:b/>
          <w:sz w:val="23"/>
          <w:szCs w:val="23"/>
        </w:rPr>
        <w:t>, Italy</w:t>
      </w:r>
    </w:p>
    <w:p w14:paraId="393B4D6D" w14:textId="77777777" w:rsidR="004A6307" w:rsidRDefault="00000000">
      <w:pPr>
        <w:shd w:val="clear" w:color="auto" w:fill="FFFFFF"/>
        <w:spacing w:line="288" w:lineRule="auto"/>
        <w:rPr>
          <w:sz w:val="20"/>
          <w:szCs w:val="20"/>
        </w:rPr>
      </w:pPr>
      <w:r>
        <w:rPr>
          <w:b/>
          <w:sz w:val="20"/>
          <w:szCs w:val="20"/>
        </w:rPr>
        <w:t>Varietal Composition: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Pinot Grigio</w:t>
      </w:r>
    </w:p>
    <w:p w14:paraId="33161FF9" w14:textId="77777777" w:rsidR="004A6307" w:rsidRDefault="00000000">
      <w:pPr>
        <w:shd w:val="clear" w:color="auto" w:fill="FFFFFF"/>
        <w:spacing w:line="288" w:lineRule="auto"/>
        <w:rPr>
          <w:sz w:val="20"/>
          <w:szCs w:val="20"/>
        </w:rPr>
      </w:pPr>
      <w:r>
        <w:rPr>
          <w:b/>
          <w:sz w:val="20"/>
          <w:szCs w:val="20"/>
        </w:rPr>
        <w:t>Vineyard Location:</w:t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color w:val="212121"/>
          <w:sz w:val="20"/>
          <w:szCs w:val="20"/>
          <w:highlight w:val="white"/>
        </w:rPr>
        <w:t>Veneto, Italy</w:t>
      </w:r>
    </w:p>
    <w:p w14:paraId="72D550F8" w14:textId="77777777" w:rsidR="004A6307" w:rsidRDefault="00000000">
      <w:pPr>
        <w:shd w:val="clear" w:color="auto" w:fill="FFFFFF"/>
        <w:spacing w:line="331" w:lineRule="auto"/>
        <w:rPr>
          <w:sz w:val="20"/>
          <w:szCs w:val="20"/>
        </w:rPr>
      </w:pPr>
      <w:r>
        <w:rPr>
          <w:b/>
          <w:sz w:val="20"/>
          <w:szCs w:val="20"/>
        </w:rPr>
        <w:t>Aging: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Stainless Steel</w:t>
      </w:r>
    </w:p>
    <w:p w14:paraId="7C903F2A" w14:textId="77777777" w:rsidR="004A6307" w:rsidRDefault="00000000">
      <w:pPr>
        <w:shd w:val="clear" w:color="auto" w:fill="FFFFFF"/>
        <w:spacing w:line="331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Alcohol: 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11.5%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44D41EE0" w14:textId="77777777" w:rsidR="004A6307" w:rsidRDefault="00000000">
      <w:pPr>
        <w:shd w:val="clear" w:color="auto" w:fill="FFFFFF"/>
        <w:spacing w:line="288" w:lineRule="auto"/>
        <w:rPr>
          <w:sz w:val="20"/>
          <w:szCs w:val="20"/>
          <w:highlight w:val="white"/>
        </w:rPr>
      </w:pPr>
      <w:r>
        <w:rPr>
          <w:b/>
          <w:sz w:val="20"/>
          <w:szCs w:val="20"/>
        </w:rPr>
        <w:t>Tasting Notes: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color w:val="404040"/>
          <w:sz w:val="20"/>
          <w:szCs w:val="20"/>
        </w:rPr>
        <w:t xml:space="preserve">Herbaceous and fragrant on the nose, dry and balanced on the </w:t>
      </w:r>
      <w:proofErr w:type="gramStart"/>
      <w:r>
        <w:rPr>
          <w:color w:val="404040"/>
          <w:sz w:val="20"/>
          <w:szCs w:val="20"/>
        </w:rPr>
        <w:t>pallet</w:t>
      </w:r>
      <w:proofErr w:type="gramEnd"/>
      <w:r>
        <w:rPr>
          <w:color w:val="404040"/>
          <w:sz w:val="20"/>
          <w:szCs w:val="20"/>
        </w:rPr>
        <w:t xml:space="preserve"> </w:t>
      </w:r>
    </w:p>
    <w:p w14:paraId="18B15184" w14:textId="77777777" w:rsidR="004A6307" w:rsidRDefault="00000000">
      <w:pPr>
        <w:shd w:val="clear" w:color="auto" w:fill="FFFFFF"/>
        <w:spacing w:line="288" w:lineRule="auto"/>
        <w:rPr>
          <w:sz w:val="20"/>
          <w:szCs w:val="20"/>
        </w:rPr>
      </w:pPr>
      <w:r>
        <w:rPr>
          <w:b/>
          <w:sz w:val="20"/>
          <w:szCs w:val="20"/>
        </w:rPr>
        <w:t>Food Pairing: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Pair with our seared tuna or grilled white meats</w:t>
      </w:r>
    </w:p>
    <w:p w14:paraId="6590FC22" w14:textId="77777777" w:rsidR="004A6307" w:rsidRDefault="00000000">
      <w:pPr>
        <w:shd w:val="clear" w:color="auto" w:fill="FFFFFF"/>
        <w:spacing w:line="288" w:lineRule="auto"/>
        <w:rPr>
          <w:sz w:val="20"/>
          <w:szCs w:val="20"/>
        </w:rPr>
      </w:pPr>
      <w:r>
        <w:rPr>
          <w:b/>
          <w:sz w:val="20"/>
          <w:szCs w:val="20"/>
        </w:rPr>
        <w:t>Cheese Pairing: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Pair with our Brie or Grana Padano</w:t>
      </w:r>
    </w:p>
    <w:p w14:paraId="062593A0" w14:textId="77777777" w:rsidR="004A6307" w:rsidRDefault="004A6307"/>
    <w:p w14:paraId="6A9D0A7C" w14:textId="77777777" w:rsidR="004A6307" w:rsidRDefault="00000000">
      <w:pPr>
        <w:jc w:val="center"/>
        <w:rPr>
          <w:rFonts w:ascii="Comic Sans MS" w:eastAsia="Comic Sans MS" w:hAnsi="Comic Sans MS" w:cs="Comic Sans MS"/>
          <w:b/>
        </w:rPr>
      </w:pPr>
      <w:r>
        <w:t xml:space="preserve"> </w:t>
      </w:r>
      <w:r>
        <w:rPr>
          <w:rFonts w:ascii="Comic Sans MS" w:eastAsia="Comic Sans MS" w:hAnsi="Comic Sans MS" w:cs="Comic Sans MS"/>
          <w:b/>
        </w:rPr>
        <w:t>The Gang at Wine &amp; Cheese</w:t>
      </w:r>
    </w:p>
    <w:p w14:paraId="25A81B14" w14:textId="77777777" w:rsidR="004A6307" w:rsidRDefault="00000000">
      <w:pPr>
        <w:spacing w:after="160" w:line="259" w:lineRule="auto"/>
        <w:jc w:val="center"/>
      </w:pPr>
      <w:r>
        <w:rPr>
          <w:rFonts w:ascii="Comic Sans MS" w:eastAsia="Comic Sans MS" w:hAnsi="Comic Sans MS" w:cs="Comic Sans MS"/>
          <w:noProof/>
        </w:rPr>
        <w:drawing>
          <wp:inline distT="0" distB="0" distL="114300" distR="114300" wp14:anchorId="1906A73D" wp14:editId="2F4A839C">
            <wp:extent cx="2211388" cy="289882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11388" cy="28988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D23948D" w14:textId="77777777" w:rsidR="004A6307" w:rsidRDefault="00000000">
      <w:pPr>
        <w:tabs>
          <w:tab w:val="center" w:pos="4320"/>
          <w:tab w:val="right" w:pos="8640"/>
        </w:tabs>
        <w:spacing w:line="240" w:lineRule="auto"/>
        <w:jc w:val="center"/>
      </w:pPr>
      <w:r>
        <w:rPr>
          <w:rFonts w:ascii="BatangChe" w:eastAsia="BatangChe" w:hAnsi="BatangChe" w:cs="BatangChe"/>
          <w:sz w:val="18"/>
          <w:szCs w:val="18"/>
        </w:rPr>
        <w:t xml:space="preserve">24104 W. Lockport Street Plainfield, IL </w:t>
      </w:r>
      <w:proofErr w:type="gramStart"/>
      <w:r>
        <w:rPr>
          <w:rFonts w:ascii="BatangChe" w:eastAsia="BatangChe" w:hAnsi="BatangChe" w:cs="BatangChe"/>
          <w:sz w:val="18"/>
          <w:szCs w:val="18"/>
        </w:rPr>
        <w:t>60544  (</w:t>
      </w:r>
      <w:proofErr w:type="gramEnd"/>
      <w:r>
        <w:rPr>
          <w:rFonts w:ascii="BatangChe" w:eastAsia="BatangChe" w:hAnsi="BatangChe" w:cs="BatangChe"/>
          <w:sz w:val="18"/>
          <w:szCs w:val="18"/>
        </w:rPr>
        <w:t xml:space="preserve">815) 436-3499   </w:t>
      </w:r>
      <w:hyperlink r:id="rId5">
        <w:r>
          <w:rPr>
            <w:rFonts w:ascii="BatangChe" w:eastAsia="BatangChe" w:hAnsi="BatangChe" w:cs="BatangChe"/>
            <w:color w:val="0000FF"/>
            <w:sz w:val="18"/>
            <w:szCs w:val="18"/>
            <w:u w:val="single"/>
          </w:rPr>
          <w:t>www.wineandcheeseco.com</w:t>
        </w:r>
      </w:hyperlink>
    </w:p>
    <w:sectPr w:rsidR="004A6307">
      <w:pgSz w:w="12240" w:h="15840"/>
      <w:pgMar w:top="900" w:right="1440" w:bottom="445" w:left="16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atangChe">
    <w:altName w:val="Malgun Gothic"/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307"/>
    <w:rsid w:val="002E1466"/>
    <w:rsid w:val="00485408"/>
    <w:rsid w:val="004A6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7D66F"/>
  <w15:docId w15:val="{98661351-5010-4EBB-B6FF-20FB74166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wineandcheeseco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396</Words>
  <Characters>2258</Characters>
  <Application>Microsoft Office Word</Application>
  <DocSecurity>0</DocSecurity>
  <Lines>18</Lines>
  <Paragraphs>5</Paragraphs>
  <ScaleCrop>false</ScaleCrop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Anna Trost</cp:lastModifiedBy>
  <cp:revision>3</cp:revision>
  <dcterms:created xsi:type="dcterms:W3CDTF">2023-05-28T20:18:00Z</dcterms:created>
  <dcterms:modified xsi:type="dcterms:W3CDTF">2023-05-30T16:14:00Z</dcterms:modified>
</cp:coreProperties>
</file>